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00C97" w14:textId="77777777" w:rsidR="00C564BD" w:rsidRPr="00C564BD" w:rsidRDefault="00C564BD" w:rsidP="00C564BD">
      <w:pPr>
        <w:jc w:val="center"/>
        <w:rPr>
          <w:rFonts w:ascii="Arial" w:hAnsi="Arial" w:cs="Arial"/>
          <w:b/>
          <w:lang w:val="pl-PL"/>
        </w:rPr>
      </w:pPr>
      <w:r w:rsidRPr="00C564BD">
        <w:rPr>
          <w:rFonts w:ascii="Arial" w:hAnsi="Arial" w:cs="Arial"/>
          <w:b/>
          <w:lang w:val="pl-PL"/>
        </w:rPr>
        <w:t>Pierwsze badania kliniczne nad pozytonium jako biomarkerem w ocenie guzów neuroendokrynnych</w:t>
      </w:r>
    </w:p>
    <w:p w14:paraId="088F4C31" w14:textId="77777777" w:rsidR="00C75323" w:rsidRPr="00C564BD" w:rsidRDefault="00C75323" w:rsidP="00CD2B92">
      <w:pPr>
        <w:autoSpaceDE w:val="0"/>
        <w:autoSpaceDN w:val="0"/>
        <w:adjustRightInd w:val="0"/>
        <w:jc w:val="center"/>
        <w:rPr>
          <w:rFonts w:ascii="Bell MT" w:hAnsi="Bell MT"/>
          <w:b/>
          <w:sz w:val="22"/>
          <w:szCs w:val="22"/>
          <w:lang w:val="pl-PL"/>
        </w:rPr>
      </w:pPr>
    </w:p>
    <w:p w14:paraId="7C6AB8BB" w14:textId="6786D2C4" w:rsidR="001050F0" w:rsidRPr="00067CAE" w:rsidRDefault="0058059B" w:rsidP="0058059B">
      <w:pPr>
        <w:jc w:val="center"/>
        <w:rPr>
          <w:rFonts w:ascii="Arial" w:hAnsi="Arial" w:cs="Arial"/>
          <w:sz w:val="22"/>
          <w:szCs w:val="22"/>
          <w:lang w:val="pl-PL" w:eastAsia="ja-JP"/>
        </w:rPr>
      </w:pPr>
      <w:r w:rsidRPr="00067CAE">
        <w:rPr>
          <w:rFonts w:ascii="Arial" w:hAnsi="Arial" w:cs="Arial"/>
          <w:sz w:val="22"/>
          <w:szCs w:val="22"/>
          <w:lang w:val="pl-PL" w:eastAsia="ja-JP"/>
        </w:rPr>
        <w:t>E.Ł.</w:t>
      </w:r>
      <w:r w:rsidR="00F67247" w:rsidRPr="00067CAE">
        <w:rPr>
          <w:rFonts w:ascii="Arial" w:hAnsi="Arial" w:cs="Arial"/>
          <w:sz w:val="22"/>
          <w:szCs w:val="22"/>
          <w:lang w:val="pl-PL" w:eastAsia="ja-JP"/>
        </w:rPr>
        <w:t xml:space="preserve"> </w:t>
      </w:r>
      <w:r w:rsidRPr="00067CAE">
        <w:rPr>
          <w:rFonts w:ascii="Arial" w:hAnsi="Arial" w:cs="Arial"/>
          <w:sz w:val="22"/>
          <w:szCs w:val="22"/>
          <w:lang w:val="pl-PL"/>
        </w:rPr>
        <w:t>Stępień</w:t>
      </w:r>
      <w:r w:rsidRPr="00067CAE">
        <w:rPr>
          <w:rFonts w:ascii="Arial" w:hAnsi="Arial" w:cs="Arial"/>
          <w:sz w:val="22"/>
          <w:szCs w:val="22"/>
          <w:vertAlign w:val="superscript"/>
          <w:lang w:val="pl-PL"/>
        </w:rPr>
        <w:t>1,2*</w:t>
      </w:r>
      <w:r w:rsidR="00067CAE" w:rsidRPr="00067CAE">
        <w:rPr>
          <w:rFonts w:ascii="Arial" w:hAnsi="Arial" w:cs="Arial"/>
          <w:sz w:val="22"/>
          <w:szCs w:val="22"/>
          <w:lang w:val="pl-PL"/>
        </w:rPr>
        <w:t>, P. Moskal</w:t>
      </w:r>
      <w:r w:rsidR="00067CAE" w:rsidRPr="00067CAE">
        <w:rPr>
          <w:rFonts w:ascii="Arial" w:hAnsi="Arial" w:cs="Arial"/>
          <w:sz w:val="22"/>
          <w:szCs w:val="22"/>
          <w:vertAlign w:val="superscript"/>
          <w:lang w:val="pl-PL"/>
        </w:rPr>
        <w:t>1,2</w:t>
      </w:r>
    </w:p>
    <w:p w14:paraId="253DE255" w14:textId="77777777" w:rsidR="009824CD" w:rsidRPr="00067CAE" w:rsidRDefault="009824CD" w:rsidP="00CD2B92">
      <w:pPr>
        <w:jc w:val="center"/>
        <w:rPr>
          <w:rFonts w:ascii="Franklin Gothic Book" w:hAnsi="Franklin Gothic Book"/>
          <w:sz w:val="22"/>
          <w:szCs w:val="22"/>
          <w:vertAlign w:val="superscript"/>
          <w:lang w:val="pl-PL"/>
        </w:rPr>
      </w:pPr>
    </w:p>
    <w:p w14:paraId="5220AF38" w14:textId="37EA760C" w:rsidR="007825E8" w:rsidRPr="00427993" w:rsidRDefault="001050F0" w:rsidP="00CD2B92">
      <w:pPr>
        <w:jc w:val="center"/>
        <w:rPr>
          <w:rFonts w:ascii="Arial" w:hAnsi="Arial" w:cs="Arial"/>
          <w:i/>
          <w:sz w:val="20"/>
          <w:szCs w:val="20"/>
          <w:lang w:val="pl-PL" w:eastAsia="ja-JP"/>
        </w:rPr>
      </w:pPr>
      <w:r w:rsidRPr="00427993">
        <w:rPr>
          <w:rFonts w:ascii="Arial" w:hAnsi="Arial" w:cs="Arial"/>
          <w:i/>
          <w:sz w:val="20"/>
          <w:szCs w:val="20"/>
          <w:vertAlign w:val="superscript"/>
          <w:lang w:val="pl-PL"/>
        </w:rPr>
        <w:t>1</w:t>
      </w:r>
      <w:r w:rsidR="00067CAE" w:rsidRPr="00427993">
        <w:rPr>
          <w:rFonts w:ascii="Arial" w:hAnsi="Arial" w:cs="Arial"/>
          <w:i/>
          <w:sz w:val="20"/>
          <w:szCs w:val="20"/>
          <w:lang w:val="pl-PL" w:eastAsia="ja-JP"/>
        </w:rPr>
        <w:t xml:space="preserve">Instytut Fizyki im. Mariana </w:t>
      </w:r>
      <w:r w:rsidR="00427993" w:rsidRPr="00427993">
        <w:rPr>
          <w:rFonts w:ascii="Arial" w:hAnsi="Arial" w:cs="Arial"/>
          <w:i/>
          <w:sz w:val="20"/>
          <w:szCs w:val="20"/>
          <w:lang w:val="pl-PL" w:eastAsia="ja-JP"/>
        </w:rPr>
        <w:t>Smoluchowskiego, Uniwersytet Jagielloński</w:t>
      </w:r>
      <w:r w:rsidR="00427993">
        <w:rPr>
          <w:rFonts w:ascii="Arial" w:hAnsi="Arial" w:cs="Arial"/>
          <w:i/>
          <w:sz w:val="20"/>
          <w:szCs w:val="20"/>
          <w:lang w:val="pl-PL" w:eastAsia="ja-JP"/>
        </w:rPr>
        <w:t>, K</w:t>
      </w:r>
      <w:r w:rsidR="009F5427">
        <w:rPr>
          <w:rFonts w:ascii="Arial" w:hAnsi="Arial" w:cs="Arial"/>
          <w:i/>
          <w:sz w:val="20"/>
          <w:szCs w:val="20"/>
          <w:lang w:val="pl-PL" w:eastAsia="ja-JP"/>
        </w:rPr>
        <w:t>ra</w:t>
      </w:r>
      <w:r w:rsidR="00427993">
        <w:rPr>
          <w:rFonts w:ascii="Arial" w:hAnsi="Arial" w:cs="Arial"/>
          <w:i/>
          <w:sz w:val="20"/>
          <w:szCs w:val="20"/>
          <w:lang w:val="pl-PL" w:eastAsia="ja-JP"/>
        </w:rPr>
        <w:t>ków</w:t>
      </w:r>
      <w:r w:rsidR="0051136A">
        <w:rPr>
          <w:rFonts w:ascii="Arial" w:hAnsi="Arial" w:cs="Arial"/>
          <w:i/>
          <w:sz w:val="20"/>
          <w:szCs w:val="20"/>
          <w:lang w:val="pl-PL" w:eastAsia="ja-JP"/>
        </w:rPr>
        <w:t>, Polska</w:t>
      </w:r>
      <w:r w:rsidR="007825E8" w:rsidRPr="00427993">
        <w:rPr>
          <w:rFonts w:ascii="Arial" w:hAnsi="Arial" w:cs="Arial"/>
          <w:i/>
          <w:sz w:val="20"/>
          <w:szCs w:val="20"/>
          <w:lang w:val="pl-PL" w:eastAsia="ja-JP"/>
        </w:rPr>
        <w:t xml:space="preserve"> </w:t>
      </w:r>
    </w:p>
    <w:p w14:paraId="47BEDF87" w14:textId="2EBA572F" w:rsidR="005C674D" w:rsidRPr="005624B1" w:rsidRDefault="005C674D" w:rsidP="00CD2B92">
      <w:pPr>
        <w:jc w:val="center"/>
        <w:rPr>
          <w:rFonts w:ascii="Arial" w:hAnsi="Arial" w:cs="Arial"/>
          <w:i/>
          <w:sz w:val="20"/>
          <w:szCs w:val="20"/>
          <w:lang w:val="pl-PL"/>
        </w:rPr>
      </w:pPr>
      <w:r w:rsidRPr="005624B1">
        <w:rPr>
          <w:rFonts w:ascii="Arial" w:eastAsia="SimSun" w:hAnsi="Arial" w:cs="Arial"/>
          <w:i/>
          <w:iCs/>
          <w:sz w:val="20"/>
          <w:szCs w:val="20"/>
          <w:vertAlign w:val="superscript"/>
          <w:lang w:val="pl-PL" w:eastAsia="zh-CN"/>
        </w:rPr>
        <w:t>2</w:t>
      </w:r>
      <w:r w:rsidR="0051136A" w:rsidRPr="005624B1">
        <w:rPr>
          <w:rFonts w:ascii="Arial" w:eastAsia="SimSun" w:hAnsi="Arial" w:cs="Arial"/>
          <w:i/>
          <w:iCs/>
          <w:sz w:val="20"/>
          <w:szCs w:val="20"/>
          <w:lang w:val="pl-PL" w:eastAsia="zh-CN"/>
        </w:rPr>
        <w:t>Centrum Teranostyk</w:t>
      </w:r>
      <w:r w:rsidR="009F5427">
        <w:rPr>
          <w:rFonts w:ascii="Arial" w:eastAsia="SimSun" w:hAnsi="Arial" w:cs="Arial"/>
          <w:i/>
          <w:iCs/>
          <w:sz w:val="20"/>
          <w:szCs w:val="20"/>
          <w:lang w:val="pl-PL" w:eastAsia="zh-CN"/>
        </w:rPr>
        <w:t>i</w:t>
      </w:r>
      <w:r w:rsidR="0051136A" w:rsidRPr="005624B1">
        <w:rPr>
          <w:rFonts w:ascii="Arial" w:hAnsi="Arial" w:cs="Arial"/>
          <w:i/>
          <w:sz w:val="20"/>
          <w:szCs w:val="20"/>
          <w:lang w:val="pl-PL" w:eastAsia="ja-JP"/>
        </w:rPr>
        <w:t xml:space="preserve"> </w:t>
      </w:r>
      <w:r w:rsidR="0051136A" w:rsidRPr="00427993">
        <w:rPr>
          <w:rFonts w:ascii="Arial" w:hAnsi="Arial" w:cs="Arial"/>
          <w:i/>
          <w:sz w:val="20"/>
          <w:szCs w:val="20"/>
          <w:lang w:val="pl-PL" w:eastAsia="ja-JP"/>
        </w:rPr>
        <w:t>Uniwersytet Jagielloński</w:t>
      </w:r>
      <w:r w:rsidR="0051136A">
        <w:rPr>
          <w:rFonts w:ascii="Arial" w:hAnsi="Arial" w:cs="Arial"/>
          <w:i/>
          <w:sz w:val="20"/>
          <w:szCs w:val="20"/>
          <w:lang w:val="pl-PL" w:eastAsia="ja-JP"/>
        </w:rPr>
        <w:t>, K</w:t>
      </w:r>
      <w:r w:rsidR="009F5427">
        <w:rPr>
          <w:rFonts w:ascii="Arial" w:hAnsi="Arial" w:cs="Arial"/>
          <w:i/>
          <w:sz w:val="20"/>
          <w:szCs w:val="20"/>
          <w:lang w:val="pl-PL" w:eastAsia="ja-JP"/>
        </w:rPr>
        <w:t>r</w:t>
      </w:r>
      <w:r w:rsidR="0051136A">
        <w:rPr>
          <w:rFonts w:ascii="Arial" w:hAnsi="Arial" w:cs="Arial"/>
          <w:i/>
          <w:sz w:val="20"/>
          <w:szCs w:val="20"/>
          <w:lang w:val="pl-PL" w:eastAsia="ja-JP"/>
        </w:rPr>
        <w:t>aków, Polska</w:t>
      </w:r>
    </w:p>
    <w:p w14:paraId="1B4F9F2A" w14:textId="77777777" w:rsidR="00336A65" w:rsidRPr="005624B1" w:rsidRDefault="00336A65" w:rsidP="005C674D">
      <w:pPr>
        <w:jc w:val="center"/>
        <w:rPr>
          <w:lang w:val="pl-PL"/>
        </w:rPr>
      </w:pPr>
      <w:bookmarkStart w:id="0" w:name="OLE_LINK7"/>
      <w:bookmarkEnd w:id="0"/>
    </w:p>
    <w:p w14:paraId="01455F78" w14:textId="02A8BF2F" w:rsidR="00FE4ABE" w:rsidRPr="00FE4ABE" w:rsidRDefault="00FE4ABE" w:rsidP="00FE4ABE">
      <w:pPr>
        <w:autoSpaceDE w:val="0"/>
        <w:autoSpaceDN w:val="0"/>
        <w:adjustRightInd w:val="0"/>
        <w:jc w:val="both"/>
        <w:rPr>
          <w:bCs/>
          <w:sz w:val="22"/>
          <w:szCs w:val="22"/>
          <w:lang w:val="pl-PL" w:eastAsia="ja-JP"/>
        </w:rPr>
      </w:pPr>
      <w:r w:rsidRPr="00FE4ABE">
        <w:rPr>
          <w:bCs/>
          <w:sz w:val="22"/>
          <w:szCs w:val="22"/>
          <w:lang w:val="pl-PL" w:eastAsia="ja-JP"/>
        </w:rPr>
        <w:t xml:space="preserve">Guzy neuroendokrynne (NETs) to wysoce </w:t>
      </w:r>
      <w:r w:rsidR="00B336EF">
        <w:rPr>
          <w:bCs/>
          <w:sz w:val="22"/>
          <w:szCs w:val="22"/>
          <w:lang w:val="pl-PL" w:eastAsia="ja-JP"/>
        </w:rPr>
        <w:t>zró</w:t>
      </w:r>
      <w:r w:rsidR="00C95816">
        <w:rPr>
          <w:bCs/>
          <w:sz w:val="22"/>
          <w:szCs w:val="22"/>
          <w:lang w:val="pl-PL" w:eastAsia="ja-JP"/>
        </w:rPr>
        <w:t>ż</w:t>
      </w:r>
      <w:r w:rsidR="00B336EF">
        <w:rPr>
          <w:bCs/>
          <w:sz w:val="22"/>
          <w:szCs w:val="22"/>
          <w:lang w:val="pl-PL" w:eastAsia="ja-JP"/>
        </w:rPr>
        <w:t>nicowana</w:t>
      </w:r>
      <w:r w:rsidRPr="00FE4ABE">
        <w:rPr>
          <w:bCs/>
          <w:sz w:val="22"/>
          <w:szCs w:val="22"/>
          <w:lang w:val="pl-PL" w:eastAsia="ja-JP"/>
        </w:rPr>
        <w:t xml:space="preserve"> grupa nowotworów, które biologicznie charakteryzują się </w:t>
      </w:r>
      <w:r w:rsidR="00C95816">
        <w:rPr>
          <w:bCs/>
          <w:sz w:val="22"/>
          <w:szCs w:val="22"/>
          <w:lang w:val="pl-PL" w:eastAsia="ja-JP"/>
        </w:rPr>
        <w:t>obecnością</w:t>
      </w:r>
      <w:r w:rsidRPr="00FE4ABE">
        <w:rPr>
          <w:bCs/>
          <w:sz w:val="22"/>
          <w:szCs w:val="22"/>
          <w:lang w:val="pl-PL" w:eastAsia="ja-JP"/>
        </w:rPr>
        <w:t xml:space="preserve"> receptorów somatostatynowych [1]. Wykrywanie, </w:t>
      </w:r>
      <w:r w:rsidR="009D7451">
        <w:rPr>
          <w:bCs/>
          <w:sz w:val="22"/>
          <w:szCs w:val="22"/>
          <w:lang w:val="pl-PL" w:eastAsia="ja-JP"/>
        </w:rPr>
        <w:t>klasyfikacja</w:t>
      </w:r>
      <w:r w:rsidRPr="00FE4ABE">
        <w:rPr>
          <w:bCs/>
          <w:sz w:val="22"/>
          <w:szCs w:val="22"/>
          <w:lang w:val="pl-PL" w:eastAsia="ja-JP"/>
        </w:rPr>
        <w:t xml:space="preserve"> oraz monitorowanie terapii NETs jest często trudne ze względu na ich zróżnicowaną lokalizację</w:t>
      </w:r>
      <w:r w:rsidR="00595739">
        <w:rPr>
          <w:bCs/>
          <w:sz w:val="22"/>
          <w:szCs w:val="22"/>
          <w:lang w:val="pl-PL" w:eastAsia="ja-JP"/>
        </w:rPr>
        <w:br/>
      </w:r>
      <w:r w:rsidRPr="00FE4ABE">
        <w:rPr>
          <w:bCs/>
          <w:sz w:val="22"/>
          <w:szCs w:val="22"/>
          <w:lang w:val="pl-PL" w:eastAsia="ja-JP"/>
        </w:rPr>
        <w:t>i</w:t>
      </w:r>
      <w:r w:rsidR="00595739">
        <w:rPr>
          <w:bCs/>
          <w:sz w:val="22"/>
          <w:szCs w:val="22"/>
          <w:lang w:val="pl-PL" w:eastAsia="ja-JP"/>
        </w:rPr>
        <w:t xml:space="preserve"> niejednorodność</w:t>
      </w:r>
      <w:r w:rsidRPr="00FE4ABE">
        <w:rPr>
          <w:bCs/>
          <w:sz w:val="22"/>
          <w:szCs w:val="22"/>
          <w:lang w:val="pl-PL" w:eastAsia="ja-JP"/>
        </w:rPr>
        <w:t xml:space="preserve"> komórkową. Konwencjonalne obrazowanie PET/CT z użyciem analogów somatostatyny znakowanych ^68Ga jest obecnie preferowaną metodą oceny NETs [2].</w:t>
      </w:r>
    </w:p>
    <w:p w14:paraId="5D6C2F98" w14:textId="7937CFAD" w:rsidR="00FE4ABE" w:rsidRPr="00FE4ABE" w:rsidRDefault="00FE4ABE" w:rsidP="00FE4ABE">
      <w:pPr>
        <w:autoSpaceDE w:val="0"/>
        <w:autoSpaceDN w:val="0"/>
        <w:adjustRightInd w:val="0"/>
        <w:jc w:val="both"/>
        <w:rPr>
          <w:bCs/>
          <w:sz w:val="22"/>
          <w:szCs w:val="22"/>
          <w:lang w:val="pl-PL" w:eastAsia="ja-JP"/>
        </w:rPr>
      </w:pPr>
      <w:r w:rsidRPr="00FE4ABE">
        <w:rPr>
          <w:bCs/>
          <w:sz w:val="22"/>
          <w:szCs w:val="22"/>
          <w:lang w:val="pl-PL" w:eastAsia="ja-JP"/>
        </w:rPr>
        <w:t>Podczas badania PET około 40% anihilacji pozytonów zachodzi poprzez tworzenie pozytonium [3]. Pozytonium to egzotyczny atom złożony z elektronu pochodzącego z tkanek oraz pozytonu emitowanego przez radionuklid. Rozpad pozytonium w ciele pacjenta</w:t>
      </w:r>
      <w:r w:rsidR="009C2039">
        <w:rPr>
          <w:bCs/>
          <w:sz w:val="22"/>
          <w:szCs w:val="22"/>
          <w:lang w:val="pl-PL" w:eastAsia="ja-JP"/>
        </w:rPr>
        <w:t xml:space="preserve"> zależy od</w:t>
      </w:r>
      <w:r w:rsidRPr="00FE4ABE">
        <w:rPr>
          <w:bCs/>
          <w:sz w:val="22"/>
          <w:szCs w:val="22"/>
          <w:lang w:val="pl-PL" w:eastAsia="ja-JP"/>
        </w:rPr>
        <w:t xml:space="preserve"> nanostruktur</w:t>
      </w:r>
      <w:r w:rsidR="009C2039">
        <w:rPr>
          <w:bCs/>
          <w:sz w:val="22"/>
          <w:szCs w:val="22"/>
          <w:lang w:val="pl-PL" w:eastAsia="ja-JP"/>
        </w:rPr>
        <w:t>y</w:t>
      </w:r>
      <w:r w:rsidRPr="00FE4ABE">
        <w:rPr>
          <w:bCs/>
          <w:sz w:val="22"/>
          <w:szCs w:val="22"/>
          <w:lang w:val="pl-PL" w:eastAsia="ja-JP"/>
        </w:rPr>
        <w:t xml:space="preserve"> i metabolizm ludzkich tkanek [3]. Pierwsze obrazy pozytonium ex vivo i in vivo wykazały różnice w średnim czasie życia pozytonium w tkankach zdrowych i nowotworowych, co sugeruje, że czas życia pozytonium może być wykorzystywany jako wskaźnik do klasyfikacji nowotworów in vivo [4,5,6].</w:t>
      </w:r>
    </w:p>
    <w:p w14:paraId="1A6AD27C" w14:textId="2E8ECF57" w:rsidR="00FE4ABE" w:rsidRPr="00FE4ABE" w:rsidRDefault="00FE4ABE" w:rsidP="00FE4ABE">
      <w:pPr>
        <w:autoSpaceDE w:val="0"/>
        <w:autoSpaceDN w:val="0"/>
        <w:adjustRightInd w:val="0"/>
        <w:jc w:val="both"/>
        <w:rPr>
          <w:bCs/>
          <w:sz w:val="22"/>
          <w:szCs w:val="22"/>
          <w:lang w:val="pl-PL" w:eastAsia="ja-JP"/>
        </w:rPr>
      </w:pPr>
      <w:r w:rsidRPr="00FE4ABE">
        <w:rPr>
          <w:bCs/>
          <w:sz w:val="22"/>
          <w:szCs w:val="22"/>
          <w:lang w:val="pl-PL" w:eastAsia="ja-JP"/>
        </w:rPr>
        <w:t>Badania (</w:t>
      </w:r>
      <w:r w:rsidR="004A7306">
        <w:rPr>
          <w:bCs/>
          <w:sz w:val="22"/>
          <w:szCs w:val="22"/>
          <w:lang w:val="pl-PL" w:eastAsia="ja-JP"/>
        </w:rPr>
        <w:t xml:space="preserve">nr zgody komisji bioetycznej: </w:t>
      </w:r>
      <w:r w:rsidRPr="00FE4ABE">
        <w:rPr>
          <w:bCs/>
          <w:sz w:val="22"/>
          <w:szCs w:val="22"/>
          <w:lang w:val="pl-PL" w:eastAsia="ja-JP"/>
        </w:rPr>
        <w:t xml:space="preserve">1072.6120.92.2023 (NCT06242119) oraz KB16/2022 (NCT06211803)) przeprowadzono w Szpitalu Uniwersyteckim w Krakowie oraz na Warszawskim Uniwersytecie Medycznym. Łącznie przebadano 13 pacjentów. Po podaniu [^68Ga]-Ga-DOTA-TATE każdy pacjent został najpierw zbadany za pomocą standardowego systemu PET/CT, a następnie przy użyciu nowatorskiego prototypu PET skonstruowanego na Uniwersytecie Jagiellońskim — pierwszego systemu wielofotonowego zdolnego do jednoczesnego obrazowania PET i pozytonium [7,8,9]. Metoda obrazowania pozytonium została szczegółowo opisana w </w:t>
      </w:r>
      <w:r w:rsidR="00C3539D">
        <w:rPr>
          <w:bCs/>
          <w:sz w:val="22"/>
          <w:szCs w:val="22"/>
          <w:lang w:val="pl-PL" w:eastAsia="ja-JP"/>
        </w:rPr>
        <w:t>poprzednich</w:t>
      </w:r>
      <w:r w:rsidRPr="00FE4ABE">
        <w:rPr>
          <w:bCs/>
          <w:sz w:val="22"/>
          <w:szCs w:val="22"/>
          <w:lang w:val="pl-PL" w:eastAsia="ja-JP"/>
        </w:rPr>
        <w:t xml:space="preserve"> publikacjach [4,7,8,9].</w:t>
      </w:r>
    </w:p>
    <w:p w14:paraId="1BF2F656" w14:textId="083C280E" w:rsidR="00BD4870" w:rsidRPr="00067CAE" w:rsidRDefault="00FE4ABE" w:rsidP="00D86AE2">
      <w:pPr>
        <w:autoSpaceDE w:val="0"/>
        <w:autoSpaceDN w:val="0"/>
        <w:adjustRightInd w:val="0"/>
        <w:jc w:val="both"/>
        <w:rPr>
          <w:bCs/>
          <w:sz w:val="22"/>
          <w:szCs w:val="22"/>
          <w:lang w:val="pl-PL" w:eastAsia="ja-JP"/>
        </w:rPr>
      </w:pPr>
      <w:r w:rsidRPr="00FE4ABE">
        <w:rPr>
          <w:bCs/>
          <w:sz w:val="22"/>
          <w:szCs w:val="22"/>
          <w:lang w:val="pl-PL" w:eastAsia="ja-JP"/>
        </w:rPr>
        <w:t>Prezentujemy pierwsze obrazy pozytonium u 13 pacjentów z podejrzeniem guzów NET. Określamy czas życia pozytonium w wątrobie i śledzionie oraz korelujemy go z wynikami standardowej diagnostyki PET/CT i ocenami klinicznymi. Pokazujemy wykonalność obrazowania pozytonium — nowego rodzaju diagnostyki, która staje się możliwa dzięki pojawieniu się systemów PET o wysokiej czułości [7].</w:t>
      </w:r>
    </w:p>
    <w:p w14:paraId="7DF46F12" w14:textId="77777777" w:rsidR="00B70E4E" w:rsidRPr="00067CAE" w:rsidRDefault="00B70E4E" w:rsidP="00D424B2">
      <w:pPr>
        <w:autoSpaceDE w:val="0"/>
        <w:autoSpaceDN w:val="0"/>
        <w:adjustRightInd w:val="0"/>
        <w:jc w:val="both"/>
        <w:rPr>
          <w:sz w:val="22"/>
          <w:szCs w:val="22"/>
          <w:lang w:val="pl-PL" w:eastAsia="ja-JP"/>
        </w:rPr>
      </w:pPr>
    </w:p>
    <w:p w14:paraId="3E0F5172" w14:textId="2DB72238" w:rsidR="00BD4870" w:rsidRPr="00FE4ABE" w:rsidRDefault="00067CAE" w:rsidP="00D86AE2">
      <w:pPr>
        <w:autoSpaceDE w:val="0"/>
        <w:autoSpaceDN w:val="0"/>
        <w:adjustRightInd w:val="0"/>
        <w:jc w:val="both"/>
        <w:rPr>
          <w:b/>
          <w:sz w:val="21"/>
          <w:szCs w:val="22"/>
          <w:lang w:val="it-IT"/>
        </w:rPr>
      </w:pPr>
      <w:r>
        <w:rPr>
          <w:b/>
          <w:sz w:val="21"/>
          <w:szCs w:val="22"/>
          <w:lang w:val="it-IT"/>
        </w:rPr>
        <w:t>Piśmennictwo</w:t>
      </w:r>
    </w:p>
    <w:p w14:paraId="0863B90D" w14:textId="5210ED37" w:rsidR="00BD4870" w:rsidRPr="00FE4ABE" w:rsidRDefault="00D86AE2" w:rsidP="00D86AE2">
      <w:pPr>
        <w:autoSpaceDE w:val="0"/>
        <w:autoSpaceDN w:val="0"/>
        <w:adjustRightInd w:val="0"/>
        <w:jc w:val="both"/>
        <w:rPr>
          <w:sz w:val="21"/>
          <w:szCs w:val="21"/>
          <w:lang w:val="it-IT"/>
        </w:rPr>
      </w:pPr>
      <w:r w:rsidRPr="00FE4ABE">
        <w:rPr>
          <w:sz w:val="21"/>
          <w:szCs w:val="21"/>
          <w:lang w:val="it-IT"/>
        </w:rPr>
        <w:t xml:space="preserve">[1] </w:t>
      </w:r>
      <w:r w:rsidR="009B0EE4" w:rsidRPr="00FE4ABE">
        <w:rPr>
          <w:sz w:val="21"/>
          <w:szCs w:val="21"/>
          <w:lang w:val="it-IT"/>
        </w:rPr>
        <w:t xml:space="preserve">F. Panzuto, et al., </w:t>
      </w:r>
      <w:r w:rsidR="009B0EE4" w:rsidRPr="00FE4ABE">
        <w:rPr>
          <w:i/>
          <w:iCs/>
          <w:sz w:val="21"/>
          <w:szCs w:val="21"/>
          <w:lang w:val="it-IT"/>
        </w:rPr>
        <w:t>J Neuroendocrinol.</w:t>
      </w:r>
      <w:r w:rsidR="009B0EE4" w:rsidRPr="00FE4ABE">
        <w:rPr>
          <w:sz w:val="21"/>
          <w:szCs w:val="21"/>
          <w:lang w:val="it-IT"/>
        </w:rPr>
        <w:t xml:space="preserve"> </w:t>
      </w:r>
      <w:r w:rsidR="009B0EE4" w:rsidRPr="00FE4ABE">
        <w:rPr>
          <w:b/>
          <w:bCs/>
          <w:sz w:val="21"/>
          <w:szCs w:val="21"/>
          <w:lang w:val="it-IT"/>
        </w:rPr>
        <w:t>35</w:t>
      </w:r>
      <w:r w:rsidR="00F3320F" w:rsidRPr="00FE4ABE">
        <w:rPr>
          <w:sz w:val="21"/>
          <w:szCs w:val="21"/>
          <w:lang w:val="it-IT"/>
        </w:rPr>
        <w:t xml:space="preserve">, </w:t>
      </w:r>
      <w:r w:rsidR="009B0EE4" w:rsidRPr="00FE4ABE">
        <w:rPr>
          <w:sz w:val="21"/>
          <w:szCs w:val="21"/>
          <w:lang w:val="it-IT"/>
        </w:rPr>
        <w:t>e13306</w:t>
      </w:r>
      <w:r w:rsidR="00F3320F" w:rsidRPr="00FE4ABE">
        <w:rPr>
          <w:sz w:val="21"/>
          <w:szCs w:val="21"/>
          <w:lang w:val="it-IT"/>
        </w:rPr>
        <w:t xml:space="preserve"> (2023).</w:t>
      </w:r>
    </w:p>
    <w:p w14:paraId="70B003AD" w14:textId="785E8B8B" w:rsidR="00BD4870" w:rsidRPr="00FE4ABE" w:rsidRDefault="00BD4870" w:rsidP="00D86AE2">
      <w:pPr>
        <w:autoSpaceDE w:val="0"/>
        <w:autoSpaceDN w:val="0"/>
        <w:adjustRightInd w:val="0"/>
        <w:jc w:val="both"/>
        <w:rPr>
          <w:sz w:val="21"/>
          <w:szCs w:val="21"/>
          <w:lang w:val="it-IT"/>
        </w:rPr>
      </w:pPr>
      <w:r w:rsidRPr="00FE4ABE">
        <w:rPr>
          <w:sz w:val="21"/>
          <w:szCs w:val="21"/>
          <w:lang w:val="it-IT"/>
        </w:rPr>
        <w:t>[2]</w:t>
      </w:r>
      <w:r w:rsidR="009B0EE4" w:rsidRPr="00FE4ABE">
        <w:rPr>
          <w:lang w:val="it-IT"/>
        </w:rPr>
        <w:t xml:space="preserve"> </w:t>
      </w:r>
      <w:r w:rsidR="009B0EE4" w:rsidRPr="00FE4ABE">
        <w:rPr>
          <w:sz w:val="21"/>
          <w:szCs w:val="21"/>
          <w:lang w:val="it-IT"/>
        </w:rPr>
        <w:t xml:space="preserve">E. Fortunati et al., </w:t>
      </w:r>
      <w:r w:rsidR="009B0EE4" w:rsidRPr="00FE4ABE">
        <w:rPr>
          <w:i/>
          <w:iCs/>
          <w:sz w:val="21"/>
          <w:szCs w:val="21"/>
          <w:lang w:val="it-IT"/>
        </w:rPr>
        <w:t>Curr Treat Options Oncol.</w:t>
      </w:r>
      <w:r w:rsidR="009B0EE4" w:rsidRPr="00FE4ABE">
        <w:rPr>
          <w:sz w:val="21"/>
          <w:szCs w:val="21"/>
          <w:lang w:val="it-IT"/>
        </w:rPr>
        <w:t xml:space="preserve"> </w:t>
      </w:r>
      <w:r w:rsidR="009B0EE4" w:rsidRPr="00FE4ABE">
        <w:rPr>
          <w:b/>
          <w:bCs/>
          <w:sz w:val="21"/>
          <w:szCs w:val="21"/>
          <w:lang w:val="it-IT"/>
        </w:rPr>
        <w:t>23</w:t>
      </w:r>
      <w:r w:rsidR="00F3320F" w:rsidRPr="00FE4ABE">
        <w:rPr>
          <w:sz w:val="21"/>
          <w:szCs w:val="21"/>
          <w:lang w:val="it-IT"/>
        </w:rPr>
        <w:t xml:space="preserve">, </w:t>
      </w:r>
      <w:r w:rsidR="009B0EE4" w:rsidRPr="00FE4ABE">
        <w:rPr>
          <w:sz w:val="21"/>
          <w:szCs w:val="21"/>
          <w:lang w:val="it-IT"/>
        </w:rPr>
        <w:t>703</w:t>
      </w:r>
      <w:r w:rsidR="00F3320F" w:rsidRPr="00FE4ABE">
        <w:rPr>
          <w:sz w:val="21"/>
          <w:szCs w:val="21"/>
          <w:lang w:val="it-IT"/>
        </w:rPr>
        <w:t xml:space="preserve"> (2022).</w:t>
      </w:r>
    </w:p>
    <w:p w14:paraId="06792349" w14:textId="6107EB10" w:rsidR="00F3320F" w:rsidRPr="00FE4ABE" w:rsidRDefault="00F3320F" w:rsidP="00D86AE2">
      <w:pPr>
        <w:autoSpaceDE w:val="0"/>
        <w:autoSpaceDN w:val="0"/>
        <w:adjustRightInd w:val="0"/>
        <w:jc w:val="both"/>
        <w:rPr>
          <w:sz w:val="21"/>
          <w:szCs w:val="21"/>
          <w:lang w:val="it-IT"/>
        </w:rPr>
      </w:pPr>
      <w:r w:rsidRPr="00FE4ABE">
        <w:rPr>
          <w:sz w:val="21"/>
          <w:szCs w:val="21"/>
          <w:lang w:val="it-IT"/>
        </w:rPr>
        <w:t>[3] P. Moskal</w:t>
      </w:r>
      <w:r w:rsidR="00EE2CD5" w:rsidRPr="00FE4ABE">
        <w:rPr>
          <w:sz w:val="21"/>
          <w:szCs w:val="21"/>
          <w:lang w:val="it-IT"/>
        </w:rPr>
        <w:t>, E. Ł. Stępień</w:t>
      </w:r>
      <w:r w:rsidRPr="00FE4ABE">
        <w:rPr>
          <w:sz w:val="21"/>
          <w:szCs w:val="21"/>
          <w:lang w:val="it-IT"/>
        </w:rPr>
        <w:t xml:space="preserve"> et al., </w:t>
      </w:r>
      <w:r w:rsidRPr="00FE4ABE">
        <w:rPr>
          <w:i/>
          <w:iCs/>
          <w:sz w:val="21"/>
          <w:szCs w:val="21"/>
          <w:lang w:val="it-IT"/>
        </w:rPr>
        <w:t>Nature Reviews Physics</w:t>
      </w:r>
      <w:r w:rsidRPr="00FE4ABE">
        <w:rPr>
          <w:sz w:val="21"/>
          <w:szCs w:val="21"/>
          <w:lang w:val="it-IT"/>
        </w:rPr>
        <w:t xml:space="preserve"> </w:t>
      </w:r>
      <w:r w:rsidRPr="00FE4ABE">
        <w:rPr>
          <w:b/>
          <w:bCs/>
          <w:sz w:val="21"/>
          <w:szCs w:val="21"/>
          <w:lang w:val="it-IT"/>
        </w:rPr>
        <w:t>1</w:t>
      </w:r>
      <w:r w:rsidRPr="00FE4ABE">
        <w:rPr>
          <w:sz w:val="21"/>
          <w:szCs w:val="21"/>
          <w:lang w:val="it-IT"/>
        </w:rPr>
        <w:t>, 527 (2019).</w:t>
      </w:r>
    </w:p>
    <w:p w14:paraId="1A334F9E" w14:textId="02810680" w:rsidR="00F3320F" w:rsidRPr="00FE4ABE" w:rsidRDefault="00F3320F" w:rsidP="00D86AE2">
      <w:pPr>
        <w:autoSpaceDE w:val="0"/>
        <w:autoSpaceDN w:val="0"/>
        <w:adjustRightInd w:val="0"/>
        <w:jc w:val="both"/>
        <w:rPr>
          <w:sz w:val="21"/>
          <w:szCs w:val="21"/>
          <w:lang w:val="it-IT"/>
        </w:rPr>
      </w:pPr>
      <w:r w:rsidRPr="00FE4ABE">
        <w:rPr>
          <w:sz w:val="21"/>
          <w:szCs w:val="21"/>
          <w:lang w:val="it-IT"/>
        </w:rPr>
        <w:t xml:space="preserve">[4] P. Moskal et al., </w:t>
      </w:r>
      <w:r w:rsidRPr="00FE4ABE">
        <w:rPr>
          <w:i/>
          <w:iCs/>
          <w:sz w:val="21"/>
          <w:szCs w:val="21"/>
          <w:lang w:val="it-IT"/>
        </w:rPr>
        <w:t>Science Advances</w:t>
      </w:r>
      <w:r w:rsidRPr="00FE4ABE">
        <w:rPr>
          <w:sz w:val="21"/>
          <w:szCs w:val="21"/>
          <w:lang w:val="it-IT"/>
        </w:rPr>
        <w:t xml:space="preserve"> </w:t>
      </w:r>
      <w:r w:rsidRPr="00FE4ABE">
        <w:rPr>
          <w:b/>
          <w:bCs/>
          <w:sz w:val="21"/>
          <w:szCs w:val="21"/>
          <w:lang w:val="it-IT"/>
        </w:rPr>
        <w:t>7</w:t>
      </w:r>
      <w:r w:rsidRPr="00FE4ABE">
        <w:rPr>
          <w:sz w:val="21"/>
          <w:szCs w:val="21"/>
          <w:lang w:val="it-IT"/>
        </w:rPr>
        <w:t>, eabh4394 (2021).</w:t>
      </w:r>
    </w:p>
    <w:p w14:paraId="4E98E8DE" w14:textId="4FDC8B0B" w:rsidR="00F3320F" w:rsidRPr="00FE4ABE" w:rsidRDefault="00F3320F" w:rsidP="00D86AE2">
      <w:pPr>
        <w:autoSpaceDE w:val="0"/>
        <w:autoSpaceDN w:val="0"/>
        <w:adjustRightInd w:val="0"/>
        <w:jc w:val="both"/>
        <w:rPr>
          <w:sz w:val="21"/>
          <w:szCs w:val="21"/>
          <w:lang w:val="it-IT"/>
        </w:rPr>
      </w:pPr>
      <w:r w:rsidRPr="00FE4ABE">
        <w:rPr>
          <w:sz w:val="21"/>
          <w:szCs w:val="21"/>
          <w:lang w:val="it-IT"/>
        </w:rPr>
        <w:t xml:space="preserve">[5] P. Moskal, …, E. Ł. Stępień, </w:t>
      </w:r>
      <w:r w:rsidRPr="00FE4ABE">
        <w:rPr>
          <w:i/>
          <w:iCs/>
          <w:sz w:val="21"/>
          <w:szCs w:val="21"/>
          <w:lang w:val="it-IT"/>
        </w:rPr>
        <w:t>EJNMMI Phys.</w:t>
      </w:r>
      <w:r w:rsidRPr="00FE4ABE">
        <w:rPr>
          <w:sz w:val="21"/>
          <w:szCs w:val="21"/>
          <w:lang w:val="it-IT"/>
        </w:rPr>
        <w:t xml:space="preserve"> </w:t>
      </w:r>
      <w:r w:rsidRPr="00FE4ABE">
        <w:rPr>
          <w:b/>
          <w:bCs/>
          <w:sz w:val="21"/>
          <w:szCs w:val="21"/>
          <w:lang w:val="it-IT"/>
        </w:rPr>
        <w:t>10</w:t>
      </w:r>
      <w:r w:rsidRPr="00FE4ABE">
        <w:rPr>
          <w:sz w:val="21"/>
          <w:szCs w:val="21"/>
          <w:lang w:val="it-IT"/>
        </w:rPr>
        <w:t>, 22 (2023).</w:t>
      </w:r>
    </w:p>
    <w:p w14:paraId="271FC2F1" w14:textId="49888580" w:rsidR="00F3320F" w:rsidRDefault="00F3320F" w:rsidP="00D86AE2">
      <w:pPr>
        <w:autoSpaceDE w:val="0"/>
        <w:autoSpaceDN w:val="0"/>
        <w:adjustRightInd w:val="0"/>
        <w:jc w:val="both"/>
        <w:rPr>
          <w:sz w:val="21"/>
          <w:szCs w:val="21"/>
          <w:lang w:val="en-US"/>
        </w:rPr>
      </w:pPr>
      <w:r w:rsidRPr="004C4510">
        <w:rPr>
          <w:sz w:val="21"/>
          <w:szCs w:val="21"/>
          <w:lang w:val="en-US"/>
        </w:rPr>
        <w:t>[</w:t>
      </w:r>
      <w:r>
        <w:rPr>
          <w:sz w:val="21"/>
          <w:szCs w:val="21"/>
          <w:lang w:val="en-US"/>
        </w:rPr>
        <w:t>6</w:t>
      </w:r>
      <w:r w:rsidRPr="004C4510">
        <w:rPr>
          <w:sz w:val="21"/>
          <w:szCs w:val="21"/>
          <w:lang w:val="en-US"/>
        </w:rPr>
        <w:t xml:space="preserve">] P. Moskal, </w:t>
      </w:r>
      <w:r w:rsidRPr="00D86AE2">
        <w:rPr>
          <w:sz w:val="21"/>
          <w:szCs w:val="21"/>
          <w:lang w:val="en-US"/>
        </w:rPr>
        <w:t xml:space="preserve">…, E. Ł. Stepień, </w:t>
      </w:r>
      <w:r w:rsidRPr="004C4510">
        <w:rPr>
          <w:i/>
          <w:iCs/>
          <w:sz w:val="21"/>
          <w:szCs w:val="21"/>
          <w:lang w:val="en-US"/>
        </w:rPr>
        <w:t>Science Advances</w:t>
      </w:r>
      <w:r w:rsidRPr="004C4510">
        <w:rPr>
          <w:sz w:val="21"/>
          <w:szCs w:val="21"/>
          <w:lang w:val="en-US"/>
        </w:rPr>
        <w:t xml:space="preserve"> </w:t>
      </w:r>
      <w:r w:rsidRPr="004C4510">
        <w:rPr>
          <w:b/>
          <w:bCs/>
          <w:sz w:val="21"/>
          <w:szCs w:val="21"/>
          <w:lang w:val="en-US"/>
        </w:rPr>
        <w:t>10</w:t>
      </w:r>
      <w:r w:rsidRPr="00D86AE2">
        <w:rPr>
          <w:sz w:val="21"/>
          <w:szCs w:val="21"/>
          <w:lang w:val="en-US"/>
        </w:rPr>
        <w:t xml:space="preserve">, </w:t>
      </w:r>
      <w:r w:rsidRPr="004C4510">
        <w:rPr>
          <w:sz w:val="21"/>
          <w:szCs w:val="21"/>
          <w:lang w:val="en-US"/>
        </w:rPr>
        <w:t>eadp2890 (2024).</w:t>
      </w:r>
    </w:p>
    <w:p w14:paraId="1E2EBEF1" w14:textId="7B450E22" w:rsidR="00D86AE2" w:rsidRPr="00D86AE2" w:rsidRDefault="00BD4870" w:rsidP="00D86AE2">
      <w:pPr>
        <w:autoSpaceDE w:val="0"/>
        <w:autoSpaceDN w:val="0"/>
        <w:adjustRightInd w:val="0"/>
        <w:jc w:val="both"/>
        <w:rPr>
          <w:sz w:val="21"/>
          <w:szCs w:val="21"/>
          <w:lang w:val="en-US"/>
        </w:rPr>
      </w:pPr>
      <w:r>
        <w:rPr>
          <w:sz w:val="21"/>
          <w:szCs w:val="21"/>
          <w:lang w:val="en-US"/>
        </w:rPr>
        <w:t>[</w:t>
      </w:r>
      <w:r w:rsidR="00F3320F">
        <w:rPr>
          <w:sz w:val="21"/>
          <w:szCs w:val="21"/>
          <w:lang w:val="en-US"/>
        </w:rPr>
        <w:t>7</w:t>
      </w:r>
      <w:r>
        <w:rPr>
          <w:sz w:val="21"/>
          <w:szCs w:val="21"/>
          <w:lang w:val="en-US"/>
        </w:rPr>
        <w:t xml:space="preserve">] </w:t>
      </w:r>
      <w:r w:rsidR="00D86AE2" w:rsidRPr="00D86AE2">
        <w:rPr>
          <w:sz w:val="21"/>
          <w:szCs w:val="21"/>
          <w:lang w:val="en-US"/>
        </w:rPr>
        <w:t xml:space="preserve">P. Moskal, E. Ł. Stępień, </w:t>
      </w:r>
      <w:r w:rsidR="00D86AE2" w:rsidRPr="00D86AE2">
        <w:rPr>
          <w:i/>
          <w:iCs/>
          <w:sz w:val="21"/>
          <w:szCs w:val="21"/>
          <w:lang w:val="en-US"/>
        </w:rPr>
        <w:t xml:space="preserve">PET Clinics </w:t>
      </w:r>
      <w:r w:rsidR="00D86AE2" w:rsidRPr="00D86AE2">
        <w:rPr>
          <w:b/>
          <w:bCs/>
          <w:sz w:val="21"/>
          <w:szCs w:val="21"/>
          <w:lang w:val="en-US"/>
        </w:rPr>
        <w:t>15</w:t>
      </w:r>
      <w:r w:rsidR="00D86AE2" w:rsidRPr="00D86AE2">
        <w:rPr>
          <w:sz w:val="21"/>
          <w:szCs w:val="21"/>
          <w:lang w:val="en-US"/>
        </w:rPr>
        <w:t>, 439 (2020).</w:t>
      </w:r>
    </w:p>
    <w:p w14:paraId="45D914A4" w14:textId="77777777" w:rsidR="00B30233" w:rsidRPr="00FE4ABE" w:rsidRDefault="00D86AE2" w:rsidP="00D86AE2">
      <w:pPr>
        <w:autoSpaceDE w:val="0"/>
        <w:autoSpaceDN w:val="0"/>
        <w:adjustRightInd w:val="0"/>
        <w:jc w:val="both"/>
        <w:rPr>
          <w:sz w:val="21"/>
          <w:szCs w:val="21"/>
          <w:lang w:val="fr-FR"/>
        </w:rPr>
      </w:pPr>
      <w:r w:rsidRPr="00FE4ABE">
        <w:rPr>
          <w:sz w:val="21"/>
          <w:szCs w:val="21"/>
          <w:lang w:val="fr-FR"/>
        </w:rPr>
        <w:t>[</w:t>
      </w:r>
      <w:r w:rsidR="00F3320F" w:rsidRPr="00FE4ABE">
        <w:rPr>
          <w:sz w:val="21"/>
          <w:szCs w:val="21"/>
          <w:lang w:val="fr-FR"/>
        </w:rPr>
        <w:t>8</w:t>
      </w:r>
      <w:r w:rsidRPr="00FE4ABE">
        <w:rPr>
          <w:sz w:val="21"/>
          <w:szCs w:val="21"/>
          <w:lang w:val="fr-FR"/>
        </w:rPr>
        <w:t xml:space="preserve">] P. Moskal et al., </w:t>
      </w:r>
      <w:r w:rsidRPr="00FE4ABE">
        <w:rPr>
          <w:i/>
          <w:iCs/>
          <w:sz w:val="21"/>
          <w:szCs w:val="21"/>
          <w:lang w:val="fr-FR"/>
        </w:rPr>
        <w:t>Phys. Med. Biol.</w:t>
      </w:r>
      <w:r w:rsidRPr="00FE4ABE">
        <w:rPr>
          <w:sz w:val="21"/>
          <w:szCs w:val="21"/>
          <w:lang w:val="fr-FR"/>
        </w:rPr>
        <w:t xml:space="preserve"> </w:t>
      </w:r>
      <w:r w:rsidRPr="00FE4ABE">
        <w:rPr>
          <w:b/>
          <w:bCs/>
          <w:sz w:val="21"/>
          <w:szCs w:val="21"/>
          <w:lang w:val="fr-FR"/>
        </w:rPr>
        <w:t>6</w:t>
      </w:r>
      <w:r w:rsidR="00F3320F" w:rsidRPr="00FE4ABE">
        <w:rPr>
          <w:b/>
          <w:bCs/>
          <w:sz w:val="21"/>
          <w:szCs w:val="21"/>
          <w:lang w:val="fr-FR"/>
        </w:rPr>
        <w:t>4</w:t>
      </w:r>
      <w:r w:rsidRPr="00FE4ABE">
        <w:rPr>
          <w:sz w:val="21"/>
          <w:szCs w:val="21"/>
          <w:lang w:val="fr-FR"/>
        </w:rPr>
        <w:t xml:space="preserve">, </w:t>
      </w:r>
      <w:r w:rsidR="00F3320F" w:rsidRPr="00FE4ABE">
        <w:rPr>
          <w:sz w:val="21"/>
          <w:szCs w:val="21"/>
          <w:lang w:val="fr-FR"/>
        </w:rPr>
        <w:t>055017</w:t>
      </w:r>
      <w:r w:rsidRPr="00FE4ABE">
        <w:rPr>
          <w:sz w:val="21"/>
          <w:szCs w:val="21"/>
          <w:lang w:val="fr-FR"/>
        </w:rPr>
        <w:t xml:space="preserve"> (20</w:t>
      </w:r>
      <w:r w:rsidR="00F3320F" w:rsidRPr="00FE4ABE">
        <w:rPr>
          <w:sz w:val="21"/>
          <w:szCs w:val="21"/>
          <w:lang w:val="fr-FR"/>
        </w:rPr>
        <w:t>19</w:t>
      </w:r>
      <w:r w:rsidRPr="00FE4ABE">
        <w:rPr>
          <w:sz w:val="21"/>
          <w:szCs w:val="21"/>
          <w:lang w:val="fr-FR"/>
        </w:rPr>
        <w:t>).</w:t>
      </w:r>
    </w:p>
    <w:p w14:paraId="7A4AA7B3" w14:textId="1549EC46" w:rsidR="00D86AE2" w:rsidRPr="00FE4ABE" w:rsidRDefault="003C230A" w:rsidP="00B30233">
      <w:pPr>
        <w:autoSpaceDE w:val="0"/>
        <w:autoSpaceDN w:val="0"/>
        <w:adjustRightInd w:val="0"/>
        <w:jc w:val="both"/>
        <w:rPr>
          <w:sz w:val="21"/>
          <w:szCs w:val="21"/>
          <w:lang w:val="fr-FR"/>
        </w:rPr>
      </w:pPr>
      <w:r w:rsidRPr="00FE4ABE">
        <w:rPr>
          <w:sz w:val="21"/>
          <w:szCs w:val="21"/>
          <w:lang w:val="fr-FR"/>
        </w:rPr>
        <w:t xml:space="preserve">[9] P. Moskal et al., </w:t>
      </w:r>
      <w:r w:rsidRPr="00FE4ABE">
        <w:rPr>
          <w:i/>
          <w:iCs/>
          <w:sz w:val="21"/>
          <w:szCs w:val="21"/>
          <w:lang w:val="fr-FR"/>
        </w:rPr>
        <w:t>EJNMMI Physics</w:t>
      </w:r>
      <w:r w:rsidRPr="00FE4ABE">
        <w:rPr>
          <w:b/>
          <w:bCs/>
          <w:sz w:val="21"/>
          <w:szCs w:val="21"/>
          <w:lang w:val="fr-FR"/>
        </w:rPr>
        <w:t xml:space="preserve"> 7</w:t>
      </w:r>
      <w:r w:rsidRPr="00FE4ABE">
        <w:rPr>
          <w:sz w:val="21"/>
          <w:szCs w:val="21"/>
          <w:lang w:val="fr-FR"/>
        </w:rPr>
        <w:t>, 44 (2020).</w:t>
      </w:r>
    </w:p>
    <w:p w14:paraId="4172986B" w14:textId="77777777" w:rsidR="00B30233" w:rsidRPr="00FE4ABE" w:rsidRDefault="00B30233" w:rsidP="00B30233">
      <w:pPr>
        <w:autoSpaceDE w:val="0"/>
        <w:autoSpaceDN w:val="0"/>
        <w:adjustRightInd w:val="0"/>
        <w:jc w:val="both"/>
        <w:rPr>
          <w:sz w:val="21"/>
          <w:szCs w:val="21"/>
          <w:lang w:val="fr-FR"/>
        </w:rPr>
      </w:pPr>
    </w:p>
    <w:p w14:paraId="5B1183F2" w14:textId="77777777" w:rsidR="00F57C5E" w:rsidRPr="00FE4ABE" w:rsidRDefault="00F57C5E" w:rsidP="00522E46">
      <w:pPr>
        <w:pStyle w:val="Tekstprzypisukocowego"/>
        <w:ind w:right="-352"/>
        <w:rPr>
          <w:i/>
          <w:sz w:val="22"/>
          <w:szCs w:val="22"/>
          <w:lang w:val="fr-FR"/>
        </w:rPr>
      </w:pPr>
    </w:p>
    <w:p w14:paraId="759775D0" w14:textId="3207D199" w:rsidR="00383C21" w:rsidRPr="00FE4ABE" w:rsidRDefault="007825E8" w:rsidP="00060DBC">
      <w:pPr>
        <w:autoSpaceDE w:val="0"/>
        <w:autoSpaceDN w:val="0"/>
        <w:adjustRightInd w:val="0"/>
        <w:jc w:val="both"/>
        <w:rPr>
          <w:sz w:val="22"/>
          <w:szCs w:val="22"/>
          <w:lang w:val="fr-FR"/>
        </w:rPr>
      </w:pPr>
      <w:r w:rsidRPr="00FE4ABE">
        <w:rPr>
          <w:sz w:val="22"/>
          <w:szCs w:val="22"/>
          <w:vertAlign w:val="superscript"/>
          <w:lang w:val="fr-FR"/>
        </w:rPr>
        <w:t>*</w:t>
      </w:r>
      <w:r w:rsidR="00C75323" w:rsidRPr="00FE4ABE">
        <w:rPr>
          <w:sz w:val="22"/>
          <w:szCs w:val="22"/>
          <w:lang w:val="fr-FR"/>
        </w:rPr>
        <w:t xml:space="preserve">Email: </w:t>
      </w:r>
      <w:hyperlink r:id="rId7" w:history="1">
        <w:r w:rsidR="00B30233" w:rsidRPr="00FE4ABE">
          <w:rPr>
            <w:rStyle w:val="Hipercze"/>
            <w:sz w:val="22"/>
            <w:szCs w:val="22"/>
            <w:lang w:val="fr-FR"/>
          </w:rPr>
          <w:t>e.stepien@uj.edu.pl</w:t>
        </w:r>
      </w:hyperlink>
    </w:p>
    <w:p w14:paraId="7E3A1938" w14:textId="77777777" w:rsidR="0058059B" w:rsidRPr="00FE4ABE" w:rsidRDefault="0058059B" w:rsidP="00060DBC">
      <w:pPr>
        <w:autoSpaceDE w:val="0"/>
        <w:autoSpaceDN w:val="0"/>
        <w:adjustRightInd w:val="0"/>
        <w:jc w:val="both"/>
        <w:rPr>
          <w:sz w:val="22"/>
          <w:szCs w:val="22"/>
          <w:lang w:val="fr-FR"/>
        </w:rPr>
      </w:pPr>
    </w:p>
    <w:p w14:paraId="7C23AC1C" w14:textId="0820FA56" w:rsidR="00A30F90" w:rsidRPr="00FE4ABE" w:rsidRDefault="00A30F90" w:rsidP="00D86AE2">
      <w:pPr>
        <w:autoSpaceDE w:val="0"/>
        <w:autoSpaceDN w:val="0"/>
        <w:adjustRightInd w:val="0"/>
        <w:jc w:val="both"/>
        <w:rPr>
          <w:sz w:val="22"/>
          <w:szCs w:val="22"/>
          <w:lang w:val="fr-FR"/>
        </w:rPr>
      </w:pPr>
    </w:p>
    <w:sectPr w:rsidR="00A30F90" w:rsidRPr="00FE4ABE" w:rsidSect="003D571B">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C0F28" w14:textId="77777777" w:rsidR="00095BFF" w:rsidRDefault="00095BFF" w:rsidP="00140E21">
      <w:r>
        <w:separator/>
      </w:r>
    </w:p>
  </w:endnote>
  <w:endnote w:type="continuationSeparator" w:id="0">
    <w:p w14:paraId="26EE8319" w14:textId="77777777" w:rsidR="00095BFF" w:rsidRDefault="00095BFF" w:rsidP="0014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194D5" w14:textId="77777777" w:rsidR="00095BFF" w:rsidRDefault="00095BFF" w:rsidP="00140E21">
      <w:r>
        <w:separator/>
      </w:r>
    </w:p>
  </w:footnote>
  <w:footnote w:type="continuationSeparator" w:id="0">
    <w:p w14:paraId="0801593A" w14:textId="77777777" w:rsidR="00095BFF" w:rsidRDefault="00095BFF" w:rsidP="00140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A04F3"/>
    <w:multiLevelType w:val="hybridMultilevel"/>
    <w:tmpl w:val="0B76175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601643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5D"/>
    <w:rsid w:val="00012D8A"/>
    <w:rsid w:val="00030EBA"/>
    <w:rsid w:val="00037931"/>
    <w:rsid w:val="00040C24"/>
    <w:rsid w:val="00044016"/>
    <w:rsid w:val="00046E26"/>
    <w:rsid w:val="00050960"/>
    <w:rsid w:val="00053B69"/>
    <w:rsid w:val="00060DBC"/>
    <w:rsid w:val="00067CAE"/>
    <w:rsid w:val="00095BFF"/>
    <w:rsid w:val="000B0B88"/>
    <w:rsid w:val="000B3DEA"/>
    <w:rsid w:val="000E1E06"/>
    <w:rsid w:val="000E27D2"/>
    <w:rsid w:val="000E42C0"/>
    <w:rsid w:val="00101CD2"/>
    <w:rsid w:val="00103D48"/>
    <w:rsid w:val="001050F0"/>
    <w:rsid w:val="0011741B"/>
    <w:rsid w:val="001229BE"/>
    <w:rsid w:val="00140E21"/>
    <w:rsid w:val="00145B42"/>
    <w:rsid w:val="001553BC"/>
    <w:rsid w:val="00173F88"/>
    <w:rsid w:val="001758B0"/>
    <w:rsid w:val="001911A5"/>
    <w:rsid w:val="00194DF6"/>
    <w:rsid w:val="001966D2"/>
    <w:rsid w:val="001A2C1C"/>
    <w:rsid w:val="001D1940"/>
    <w:rsid w:val="001D1AEA"/>
    <w:rsid w:val="001E464B"/>
    <w:rsid w:val="00212BCB"/>
    <w:rsid w:val="00223F2D"/>
    <w:rsid w:val="00225FB9"/>
    <w:rsid w:val="00230FEF"/>
    <w:rsid w:val="002405D8"/>
    <w:rsid w:val="00245762"/>
    <w:rsid w:val="00252ADB"/>
    <w:rsid w:val="00257F54"/>
    <w:rsid w:val="00286392"/>
    <w:rsid w:val="00287C0C"/>
    <w:rsid w:val="002A0272"/>
    <w:rsid w:val="002A0B5B"/>
    <w:rsid w:val="002A5841"/>
    <w:rsid w:val="002A6F55"/>
    <w:rsid w:val="002B0546"/>
    <w:rsid w:val="002B383E"/>
    <w:rsid w:val="002D6F00"/>
    <w:rsid w:val="002E0014"/>
    <w:rsid w:val="002E434B"/>
    <w:rsid w:val="002E7ECC"/>
    <w:rsid w:val="002F4CC3"/>
    <w:rsid w:val="00311FB3"/>
    <w:rsid w:val="00336A65"/>
    <w:rsid w:val="00383C21"/>
    <w:rsid w:val="00385D09"/>
    <w:rsid w:val="003947DC"/>
    <w:rsid w:val="00397037"/>
    <w:rsid w:val="003976B4"/>
    <w:rsid w:val="003A5BD8"/>
    <w:rsid w:val="003B05CF"/>
    <w:rsid w:val="003B1816"/>
    <w:rsid w:val="003C230A"/>
    <w:rsid w:val="003D5045"/>
    <w:rsid w:val="003D571B"/>
    <w:rsid w:val="003E0418"/>
    <w:rsid w:val="003E1974"/>
    <w:rsid w:val="004123BB"/>
    <w:rsid w:val="004146B8"/>
    <w:rsid w:val="00414BEB"/>
    <w:rsid w:val="004208DA"/>
    <w:rsid w:val="00427993"/>
    <w:rsid w:val="00427E48"/>
    <w:rsid w:val="00430E4E"/>
    <w:rsid w:val="00433508"/>
    <w:rsid w:val="004345B7"/>
    <w:rsid w:val="00460EB1"/>
    <w:rsid w:val="00462D55"/>
    <w:rsid w:val="0046476C"/>
    <w:rsid w:val="004A4D47"/>
    <w:rsid w:val="004A7306"/>
    <w:rsid w:val="004B463D"/>
    <w:rsid w:val="004C4510"/>
    <w:rsid w:val="004C5D2C"/>
    <w:rsid w:val="004D7574"/>
    <w:rsid w:val="004D7AE3"/>
    <w:rsid w:val="004F1B69"/>
    <w:rsid w:val="004F45CE"/>
    <w:rsid w:val="005067EE"/>
    <w:rsid w:val="0051136A"/>
    <w:rsid w:val="005152FB"/>
    <w:rsid w:val="00522C20"/>
    <w:rsid w:val="00522E46"/>
    <w:rsid w:val="00536A9B"/>
    <w:rsid w:val="00547510"/>
    <w:rsid w:val="00555F2D"/>
    <w:rsid w:val="0055717D"/>
    <w:rsid w:val="00560841"/>
    <w:rsid w:val="005624B1"/>
    <w:rsid w:val="00563848"/>
    <w:rsid w:val="005654CE"/>
    <w:rsid w:val="0058059B"/>
    <w:rsid w:val="00580FE1"/>
    <w:rsid w:val="00583CD4"/>
    <w:rsid w:val="00585223"/>
    <w:rsid w:val="00595739"/>
    <w:rsid w:val="005A54C3"/>
    <w:rsid w:val="005B7F75"/>
    <w:rsid w:val="005C65FA"/>
    <w:rsid w:val="005C674D"/>
    <w:rsid w:val="005D55E4"/>
    <w:rsid w:val="005D6594"/>
    <w:rsid w:val="005E03A4"/>
    <w:rsid w:val="005E4937"/>
    <w:rsid w:val="005E6A9C"/>
    <w:rsid w:val="00603E6D"/>
    <w:rsid w:val="006070B0"/>
    <w:rsid w:val="00640FFE"/>
    <w:rsid w:val="006627E2"/>
    <w:rsid w:val="006872C3"/>
    <w:rsid w:val="006946DE"/>
    <w:rsid w:val="006A7343"/>
    <w:rsid w:val="006B1834"/>
    <w:rsid w:val="006C2377"/>
    <w:rsid w:val="006C54E0"/>
    <w:rsid w:val="006C6E4E"/>
    <w:rsid w:val="006D2DB2"/>
    <w:rsid w:val="006E3415"/>
    <w:rsid w:val="006F4E56"/>
    <w:rsid w:val="00765C40"/>
    <w:rsid w:val="00771652"/>
    <w:rsid w:val="007825E8"/>
    <w:rsid w:val="00785F23"/>
    <w:rsid w:val="00792AD3"/>
    <w:rsid w:val="00792DE6"/>
    <w:rsid w:val="007A2445"/>
    <w:rsid w:val="00810543"/>
    <w:rsid w:val="008131DD"/>
    <w:rsid w:val="00820067"/>
    <w:rsid w:val="0083722E"/>
    <w:rsid w:val="00837965"/>
    <w:rsid w:val="00861247"/>
    <w:rsid w:val="00883CF5"/>
    <w:rsid w:val="0089391F"/>
    <w:rsid w:val="0089436F"/>
    <w:rsid w:val="008A19FA"/>
    <w:rsid w:val="008B55A6"/>
    <w:rsid w:val="008C3EEF"/>
    <w:rsid w:val="008E6ACD"/>
    <w:rsid w:val="008F6015"/>
    <w:rsid w:val="00901CCD"/>
    <w:rsid w:val="009246A6"/>
    <w:rsid w:val="0092502D"/>
    <w:rsid w:val="009258C7"/>
    <w:rsid w:val="009342BB"/>
    <w:rsid w:val="009366F4"/>
    <w:rsid w:val="00944EA6"/>
    <w:rsid w:val="00975C45"/>
    <w:rsid w:val="00981426"/>
    <w:rsid w:val="009824CD"/>
    <w:rsid w:val="00997903"/>
    <w:rsid w:val="009A54FB"/>
    <w:rsid w:val="009A5F2D"/>
    <w:rsid w:val="009B0EE4"/>
    <w:rsid w:val="009B4EF6"/>
    <w:rsid w:val="009C2039"/>
    <w:rsid w:val="009D3066"/>
    <w:rsid w:val="009D7451"/>
    <w:rsid w:val="009F3E42"/>
    <w:rsid w:val="009F5427"/>
    <w:rsid w:val="009F7241"/>
    <w:rsid w:val="00A01E44"/>
    <w:rsid w:val="00A30F90"/>
    <w:rsid w:val="00A36381"/>
    <w:rsid w:val="00A50DB1"/>
    <w:rsid w:val="00A57065"/>
    <w:rsid w:val="00A62E2F"/>
    <w:rsid w:val="00A71195"/>
    <w:rsid w:val="00A737B3"/>
    <w:rsid w:val="00A8333A"/>
    <w:rsid w:val="00A95738"/>
    <w:rsid w:val="00AB45C9"/>
    <w:rsid w:val="00AB6653"/>
    <w:rsid w:val="00AC1345"/>
    <w:rsid w:val="00AC49E7"/>
    <w:rsid w:val="00AE135F"/>
    <w:rsid w:val="00B01DFB"/>
    <w:rsid w:val="00B05F80"/>
    <w:rsid w:val="00B10366"/>
    <w:rsid w:val="00B30233"/>
    <w:rsid w:val="00B336EF"/>
    <w:rsid w:val="00B56BAF"/>
    <w:rsid w:val="00B67CF3"/>
    <w:rsid w:val="00B70E4E"/>
    <w:rsid w:val="00B848CB"/>
    <w:rsid w:val="00BA5F15"/>
    <w:rsid w:val="00BB7B09"/>
    <w:rsid w:val="00BC4922"/>
    <w:rsid w:val="00BD4870"/>
    <w:rsid w:val="00BE1F15"/>
    <w:rsid w:val="00C0231B"/>
    <w:rsid w:val="00C22A5B"/>
    <w:rsid w:val="00C31B59"/>
    <w:rsid w:val="00C331F7"/>
    <w:rsid w:val="00C3539D"/>
    <w:rsid w:val="00C374C7"/>
    <w:rsid w:val="00C443F7"/>
    <w:rsid w:val="00C534CA"/>
    <w:rsid w:val="00C564BD"/>
    <w:rsid w:val="00C66755"/>
    <w:rsid w:val="00C67424"/>
    <w:rsid w:val="00C72E37"/>
    <w:rsid w:val="00C75323"/>
    <w:rsid w:val="00C86DF2"/>
    <w:rsid w:val="00C932D7"/>
    <w:rsid w:val="00C94357"/>
    <w:rsid w:val="00C95816"/>
    <w:rsid w:val="00CB7FE9"/>
    <w:rsid w:val="00CC7C64"/>
    <w:rsid w:val="00CD051B"/>
    <w:rsid w:val="00CD1A23"/>
    <w:rsid w:val="00CD2B92"/>
    <w:rsid w:val="00D02A45"/>
    <w:rsid w:val="00D06FCC"/>
    <w:rsid w:val="00D124FB"/>
    <w:rsid w:val="00D32C05"/>
    <w:rsid w:val="00D346B2"/>
    <w:rsid w:val="00D40D3A"/>
    <w:rsid w:val="00D424B2"/>
    <w:rsid w:val="00D73831"/>
    <w:rsid w:val="00D750B9"/>
    <w:rsid w:val="00D86AE2"/>
    <w:rsid w:val="00D87485"/>
    <w:rsid w:val="00D96B43"/>
    <w:rsid w:val="00DA5823"/>
    <w:rsid w:val="00DA7CC7"/>
    <w:rsid w:val="00DB719F"/>
    <w:rsid w:val="00DC4438"/>
    <w:rsid w:val="00DF3255"/>
    <w:rsid w:val="00E01C4D"/>
    <w:rsid w:val="00E1076A"/>
    <w:rsid w:val="00E22420"/>
    <w:rsid w:val="00E2429B"/>
    <w:rsid w:val="00E27CFF"/>
    <w:rsid w:val="00E40901"/>
    <w:rsid w:val="00E456C7"/>
    <w:rsid w:val="00E53583"/>
    <w:rsid w:val="00E5797B"/>
    <w:rsid w:val="00E667F1"/>
    <w:rsid w:val="00E70A03"/>
    <w:rsid w:val="00E747E9"/>
    <w:rsid w:val="00E860F8"/>
    <w:rsid w:val="00E86920"/>
    <w:rsid w:val="00E91864"/>
    <w:rsid w:val="00EB13AA"/>
    <w:rsid w:val="00EB37A4"/>
    <w:rsid w:val="00EC4951"/>
    <w:rsid w:val="00EC4A8F"/>
    <w:rsid w:val="00ED587C"/>
    <w:rsid w:val="00EE2CD5"/>
    <w:rsid w:val="00EE638C"/>
    <w:rsid w:val="00EF48B2"/>
    <w:rsid w:val="00F040B1"/>
    <w:rsid w:val="00F05173"/>
    <w:rsid w:val="00F308B6"/>
    <w:rsid w:val="00F3320F"/>
    <w:rsid w:val="00F4335D"/>
    <w:rsid w:val="00F44C30"/>
    <w:rsid w:val="00F53E6B"/>
    <w:rsid w:val="00F557F8"/>
    <w:rsid w:val="00F57C5E"/>
    <w:rsid w:val="00F67247"/>
    <w:rsid w:val="00F7147D"/>
    <w:rsid w:val="00F735C5"/>
    <w:rsid w:val="00F76F1C"/>
    <w:rsid w:val="00F84DF5"/>
    <w:rsid w:val="00F86BCA"/>
    <w:rsid w:val="00FA38B7"/>
    <w:rsid w:val="00FA5608"/>
    <w:rsid w:val="00FB5979"/>
    <w:rsid w:val="00FD35EB"/>
    <w:rsid w:val="00FE4ABE"/>
    <w:rsid w:val="00FE541E"/>
    <w:rsid w:val="00FF35D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C942FE"/>
  <w15:docId w15:val="{A75E8D52-83B8-444A-A647-C11535FE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F4CC3"/>
    <w:rPr>
      <w:sz w:val="24"/>
      <w:szCs w:val="24"/>
      <w:lang w:val="en-GB" w:eastAsia="en-G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semiHidden/>
    <w:rsid w:val="00944EA6"/>
    <w:rPr>
      <w:rFonts w:eastAsia="SimSun"/>
      <w:sz w:val="20"/>
      <w:szCs w:val="20"/>
    </w:rPr>
  </w:style>
  <w:style w:type="character" w:styleId="Hipercze">
    <w:name w:val="Hyperlink"/>
    <w:rsid w:val="00F76F1C"/>
    <w:rPr>
      <w:color w:val="0000FF"/>
      <w:u w:val="single"/>
    </w:rPr>
  </w:style>
  <w:style w:type="character" w:customStyle="1" w:styleId="latin">
    <w:name w:val="latin"/>
    <w:basedOn w:val="Domylnaczcionkaakapitu"/>
    <w:rsid w:val="009F3E42"/>
  </w:style>
  <w:style w:type="paragraph" w:styleId="Tekstdymka">
    <w:name w:val="Balloon Text"/>
    <w:basedOn w:val="Normalny"/>
    <w:semiHidden/>
    <w:rsid w:val="004D7574"/>
    <w:rPr>
      <w:rFonts w:ascii="Tahoma" w:hAnsi="Tahoma" w:cs="Tahoma"/>
      <w:sz w:val="16"/>
      <w:szCs w:val="16"/>
    </w:rPr>
  </w:style>
  <w:style w:type="paragraph" w:styleId="Nagwek">
    <w:name w:val="header"/>
    <w:basedOn w:val="Normalny"/>
    <w:link w:val="NagwekZnak"/>
    <w:rsid w:val="00140E21"/>
    <w:pPr>
      <w:tabs>
        <w:tab w:val="center" w:pos="4252"/>
        <w:tab w:val="right" w:pos="8504"/>
      </w:tabs>
      <w:snapToGrid w:val="0"/>
    </w:pPr>
  </w:style>
  <w:style w:type="character" w:customStyle="1" w:styleId="NagwekZnak">
    <w:name w:val="Nagłówek Znak"/>
    <w:link w:val="Nagwek"/>
    <w:rsid w:val="00140E21"/>
    <w:rPr>
      <w:sz w:val="24"/>
      <w:szCs w:val="24"/>
      <w:lang w:val="en-GB" w:eastAsia="en-GB"/>
    </w:rPr>
  </w:style>
  <w:style w:type="paragraph" w:styleId="Stopka">
    <w:name w:val="footer"/>
    <w:basedOn w:val="Normalny"/>
    <w:link w:val="StopkaZnak"/>
    <w:rsid w:val="00140E21"/>
    <w:pPr>
      <w:tabs>
        <w:tab w:val="center" w:pos="4252"/>
        <w:tab w:val="right" w:pos="8504"/>
      </w:tabs>
      <w:snapToGrid w:val="0"/>
    </w:pPr>
  </w:style>
  <w:style w:type="character" w:customStyle="1" w:styleId="StopkaZnak">
    <w:name w:val="Stopka Znak"/>
    <w:link w:val="Stopka"/>
    <w:rsid w:val="00140E21"/>
    <w:rPr>
      <w:sz w:val="24"/>
      <w:szCs w:val="24"/>
      <w:lang w:val="en-GB" w:eastAsia="en-GB"/>
    </w:rPr>
  </w:style>
  <w:style w:type="character" w:styleId="Nierozpoznanawzmianka">
    <w:name w:val="Unresolved Mention"/>
    <w:basedOn w:val="Domylnaczcionkaakapitu"/>
    <w:uiPriority w:val="99"/>
    <w:semiHidden/>
    <w:unhideWhenUsed/>
    <w:rsid w:val="004C4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73000">
      <w:bodyDiv w:val="1"/>
      <w:marLeft w:val="0"/>
      <w:marRight w:val="0"/>
      <w:marTop w:val="0"/>
      <w:marBottom w:val="0"/>
      <w:divBdr>
        <w:top w:val="none" w:sz="0" w:space="0" w:color="auto"/>
        <w:left w:val="none" w:sz="0" w:space="0" w:color="auto"/>
        <w:bottom w:val="none" w:sz="0" w:space="0" w:color="auto"/>
        <w:right w:val="none" w:sz="0" w:space="0" w:color="auto"/>
      </w:divBdr>
    </w:div>
    <w:div w:id="248975147">
      <w:bodyDiv w:val="1"/>
      <w:marLeft w:val="0"/>
      <w:marRight w:val="0"/>
      <w:marTop w:val="0"/>
      <w:marBottom w:val="0"/>
      <w:divBdr>
        <w:top w:val="none" w:sz="0" w:space="0" w:color="auto"/>
        <w:left w:val="none" w:sz="0" w:space="0" w:color="auto"/>
        <w:bottom w:val="none" w:sz="0" w:space="0" w:color="auto"/>
        <w:right w:val="none" w:sz="0" w:space="0" w:color="auto"/>
      </w:divBdr>
      <w:divsChild>
        <w:div w:id="2074303681">
          <w:marLeft w:val="150"/>
          <w:marRight w:val="0"/>
          <w:marTop w:val="0"/>
          <w:marBottom w:val="0"/>
          <w:divBdr>
            <w:top w:val="none" w:sz="0" w:space="0" w:color="auto"/>
            <w:left w:val="none" w:sz="0" w:space="0" w:color="auto"/>
            <w:bottom w:val="none" w:sz="0" w:space="0" w:color="auto"/>
            <w:right w:val="none" w:sz="0" w:space="0" w:color="auto"/>
          </w:divBdr>
        </w:div>
      </w:divsChild>
    </w:div>
    <w:div w:id="499932500">
      <w:bodyDiv w:val="1"/>
      <w:marLeft w:val="0"/>
      <w:marRight w:val="0"/>
      <w:marTop w:val="0"/>
      <w:marBottom w:val="0"/>
      <w:divBdr>
        <w:top w:val="none" w:sz="0" w:space="0" w:color="auto"/>
        <w:left w:val="none" w:sz="0" w:space="0" w:color="auto"/>
        <w:bottom w:val="none" w:sz="0" w:space="0" w:color="auto"/>
        <w:right w:val="none" w:sz="0" w:space="0" w:color="auto"/>
      </w:divBdr>
    </w:div>
    <w:div w:id="652296087">
      <w:bodyDiv w:val="1"/>
      <w:marLeft w:val="0"/>
      <w:marRight w:val="0"/>
      <w:marTop w:val="0"/>
      <w:marBottom w:val="0"/>
      <w:divBdr>
        <w:top w:val="none" w:sz="0" w:space="0" w:color="auto"/>
        <w:left w:val="none" w:sz="0" w:space="0" w:color="auto"/>
        <w:bottom w:val="none" w:sz="0" w:space="0" w:color="auto"/>
        <w:right w:val="none" w:sz="0" w:space="0" w:color="auto"/>
      </w:divBdr>
    </w:div>
    <w:div w:id="933241514">
      <w:bodyDiv w:val="1"/>
      <w:marLeft w:val="0"/>
      <w:marRight w:val="0"/>
      <w:marTop w:val="0"/>
      <w:marBottom w:val="0"/>
      <w:divBdr>
        <w:top w:val="none" w:sz="0" w:space="0" w:color="auto"/>
        <w:left w:val="none" w:sz="0" w:space="0" w:color="auto"/>
        <w:bottom w:val="none" w:sz="0" w:space="0" w:color="auto"/>
        <w:right w:val="none" w:sz="0" w:space="0" w:color="auto"/>
      </w:divBdr>
      <w:divsChild>
        <w:div w:id="670907484">
          <w:marLeft w:val="150"/>
          <w:marRight w:val="0"/>
          <w:marTop w:val="0"/>
          <w:marBottom w:val="0"/>
          <w:divBdr>
            <w:top w:val="none" w:sz="0" w:space="0" w:color="auto"/>
            <w:left w:val="none" w:sz="0" w:space="0" w:color="auto"/>
            <w:bottom w:val="none" w:sz="0" w:space="0" w:color="auto"/>
            <w:right w:val="none" w:sz="0" w:space="0" w:color="auto"/>
          </w:divBdr>
        </w:div>
      </w:divsChild>
    </w:div>
    <w:div w:id="1327972012">
      <w:bodyDiv w:val="1"/>
      <w:marLeft w:val="0"/>
      <w:marRight w:val="0"/>
      <w:marTop w:val="0"/>
      <w:marBottom w:val="0"/>
      <w:divBdr>
        <w:top w:val="none" w:sz="0" w:space="0" w:color="auto"/>
        <w:left w:val="none" w:sz="0" w:space="0" w:color="auto"/>
        <w:bottom w:val="none" w:sz="0" w:space="0" w:color="auto"/>
        <w:right w:val="none" w:sz="0" w:space="0" w:color="auto"/>
      </w:divBdr>
    </w:div>
    <w:div w:id="1945458612">
      <w:bodyDiv w:val="1"/>
      <w:marLeft w:val="0"/>
      <w:marRight w:val="0"/>
      <w:marTop w:val="0"/>
      <w:marBottom w:val="0"/>
      <w:divBdr>
        <w:top w:val="none" w:sz="0" w:space="0" w:color="auto"/>
        <w:left w:val="none" w:sz="0" w:space="0" w:color="auto"/>
        <w:bottom w:val="none" w:sz="0" w:space="0" w:color="auto"/>
        <w:right w:val="none" w:sz="0" w:space="0" w:color="auto"/>
      </w:divBdr>
    </w:div>
    <w:div w:id="199730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stepien@uj.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419</Words>
  <Characters>2516</Characters>
  <Application>Microsoft Office Word</Application>
  <DocSecurity>0</DocSecurity>
  <Lines>20</Lines>
  <Paragraphs>5</Paragraphs>
  <ScaleCrop>false</ScaleCrop>
  <HeadingPairs>
    <vt:vector size="8" baseType="variant">
      <vt:variant>
        <vt:lpstr>Tytuł</vt:lpstr>
      </vt:variant>
      <vt:variant>
        <vt:i4>1</vt:i4>
      </vt:variant>
      <vt:variant>
        <vt:lpstr>タイトル</vt:lpstr>
      </vt:variant>
      <vt:variant>
        <vt:i4>1</vt:i4>
      </vt:variant>
      <vt:variant>
        <vt:lpstr>Název</vt:lpstr>
      </vt:variant>
      <vt:variant>
        <vt:i4>1</vt:i4>
      </vt:variant>
      <vt:variant>
        <vt:lpstr>Title</vt:lpstr>
      </vt:variant>
      <vt:variant>
        <vt:i4>1</vt:i4>
      </vt:variant>
    </vt:vector>
  </HeadingPairs>
  <TitlesOfParts>
    <vt:vector size="4" baseType="lpstr">
      <vt:lpstr/>
      <vt:lpstr/>
      <vt:lpstr/>
      <vt:lpstr>Amorphous carbohydrates in the glassy state are of major importance in both the pharmaceutical  and food  industries, as they are commonly used for the encapsulation, stabilization, and release of active ingredients, such as flavors, drugs and nutrients</vt:lpstr>
    </vt:vector>
  </TitlesOfParts>
  <Company>Chiba University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dc:creator>
  <cp:lastModifiedBy>Ewa Stępień</cp:lastModifiedBy>
  <cp:revision>17</cp:revision>
  <dcterms:created xsi:type="dcterms:W3CDTF">2025-06-05T04:46:00Z</dcterms:created>
  <dcterms:modified xsi:type="dcterms:W3CDTF">2025-06-05T04:57:00Z</dcterms:modified>
</cp:coreProperties>
</file>